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58" w:rsidRDefault="00FC0758">
      <w:pPr>
        <w:rPr>
          <w:rFonts w:ascii="Arial" w:hAnsi="Arial" w:cs="Arial"/>
        </w:rPr>
      </w:pPr>
    </w:p>
    <w:p w:rsidR="00AD2C41" w:rsidRDefault="00AD2C41">
      <w:pPr>
        <w:rPr>
          <w:rFonts w:ascii="Arial" w:hAnsi="Arial" w:cs="Arial"/>
        </w:rPr>
      </w:pPr>
    </w:p>
    <w:p w:rsidR="006C29B6" w:rsidRPr="006C29B6" w:rsidRDefault="006C29B6" w:rsidP="006C29B6">
      <w:pPr>
        <w:tabs>
          <w:tab w:val="left" w:pos="-1440"/>
          <w:tab w:val="left" w:pos="-720"/>
        </w:tabs>
        <w:suppressAutoHyphens/>
        <w:spacing w:after="0" w:line="240" w:lineRule="auto"/>
        <w:jc w:val="center"/>
        <w:rPr>
          <w:rFonts w:ascii="Arial" w:eastAsia="Times New Roman" w:hAnsi="Arial" w:cs="Arial"/>
          <w:b/>
          <w:bCs/>
          <w:lang w:val="es-ES_tradnl" w:eastAsia="es-ES_tradnl"/>
        </w:rPr>
      </w:pPr>
      <w:r w:rsidRPr="006C29B6">
        <w:rPr>
          <w:rFonts w:ascii="Arial" w:eastAsia="Times New Roman" w:hAnsi="Arial" w:cs="Arial"/>
          <w:b/>
          <w:bCs/>
          <w:lang w:val="es-ES_tradnl" w:eastAsia="es-ES_tradnl"/>
        </w:rPr>
        <w:t>EL DIRECTOR TÉCNICO DE TALENTO HUMANO DE LA CONTRALORÍA DE BOGOTÁ, D.C.,</w:t>
      </w:r>
    </w:p>
    <w:p w:rsidR="006C29B6" w:rsidRPr="006C29B6" w:rsidRDefault="006C29B6" w:rsidP="006C29B6">
      <w:pPr>
        <w:spacing w:after="0" w:line="240" w:lineRule="auto"/>
        <w:jc w:val="both"/>
        <w:rPr>
          <w:rFonts w:ascii="Arial" w:eastAsia="Times New Roman" w:hAnsi="Arial" w:cs="Arial"/>
          <w:b/>
          <w:lang w:eastAsia="es-ES"/>
        </w:rPr>
      </w:pPr>
    </w:p>
    <w:p w:rsidR="006C29B6" w:rsidRPr="006C29B6" w:rsidRDefault="006C29B6" w:rsidP="006C29B6">
      <w:pPr>
        <w:spacing w:after="0" w:line="240" w:lineRule="auto"/>
        <w:jc w:val="center"/>
        <w:rPr>
          <w:rFonts w:ascii="Arial" w:eastAsia="Times New Roman" w:hAnsi="Arial" w:cs="Arial"/>
          <w:b/>
          <w:lang w:eastAsia="es-ES"/>
        </w:rPr>
      </w:pPr>
    </w:p>
    <w:p w:rsidR="006C29B6" w:rsidRPr="006C29B6" w:rsidRDefault="006C29B6" w:rsidP="006C29B6">
      <w:pPr>
        <w:spacing w:after="0" w:line="240" w:lineRule="auto"/>
        <w:jc w:val="center"/>
        <w:rPr>
          <w:rFonts w:ascii="Arial" w:eastAsia="Times New Roman" w:hAnsi="Arial" w:cs="Arial"/>
          <w:lang w:val="es-ES_tradnl" w:eastAsia="es-ES"/>
        </w:rPr>
      </w:pPr>
      <w:r w:rsidRPr="006C29B6">
        <w:rPr>
          <w:rFonts w:ascii="Arial" w:eastAsia="Times New Roman" w:hAnsi="Arial" w:cs="Arial"/>
          <w:lang w:val="es-ES_tradnl" w:eastAsia="es-ES"/>
        </w:rPr>
        <w:t>En uso de las facultades delegadas por la Resolución Reglamentaria número 014 del 19 de mayo de 2016 y de las atribuciones conferidas por el Acuerdo No.658 de 2016, modificado por el Acuerdo 664 de 2017 y,</w:t>
      </w:r>
    </w:p>
    <w:p w:rsidR="006C29B6" w:rsidRPr="006C29B6" w:rsidRDefault="006C29B6" w:rsidP="006C29B6">
      <w:pPr>
        <w:spacing w:after="0" w:line="240" w:lineRule="auto"/>
        <w:jc w:val="center"/>
        <w:rPr>
          <w:rFonts w:ascii="Arial" w:eastAsia="Times New Roman" w:hAnsi="Arial" w:cs="Arial"/>
          <w:lang w:val="es-ES_tradnl" w:eastAsia="es-ES"/>
        </w:rPr>
      </w:pPr>
    </w:p>
    <w:p w:rsidR="006C29B6" w:rsidRPr="006C29B6" w:rsidRDefault="006C29B6" w:rsidP="006C29B6">
      <w:pPr>
        <w:spacing w:after="0" w:line="240" w:lineRule="auto"/>
        <w:jc w:val="center"/>
        <w:rPr>
          <w:rFonts w:ascii="Arial" w:eastAsia="Times New Roman" w:hAnsi="Arial" w:cs="Arial"/>
          <w:b/>
          <w:lang w:val="pt-BR" w:eastAsia="es-ES"/>
        </w:rPr>
      </w:pPr>
      <w:r w:rsidRPr="006C29B6">
        <w:rPr>
          <w:rFonts w:ascii="Arial" w:eastAsia="Times New Roman" w:hAnsi="Arial" w:cs="Arial"/>
          <w:b/>
          <w:lang w:val="pt-BR" w:eastAsia="es-ES"/>
        </w:rPr>
        <w:t>C O N S I D E R A N D O:</w:t>
      </w:r>
    </w:p>
    <w:p w:rsidR="006C29B6" w:rsidRPr="006C29B6" w:rsidRDefault="006C29B6" w:rsidP="006C29B6">
      <w:pPr>
        <w:spacing w:after="0" w:line="240" w:lineRule="auto"/>
        <w:jc w:val="center"/>
        <w:rPr>
          <w:rFonts w:ascii="Arial" w:eastAsia="Times New Roman" w:hAnsi="Arial" w:cs="Arial"/>
          <w:b/>
          <w:lang w:val="pt-BR" w:eastAsia="es-ES"/>
        </w:rPr>
      </w:pPr>
    </w:p>
    <w:p w:rsidR="006C29B6" w:rsidRPr="006C29B6" w:rsidRDefault="006C29B6" w:rsidP="006C29B6">
      <w:pPr>
        <w:spacing w:after="0" w:line="240" w:lineRule="auto"/>
        <w:jc w:val="both"/>
        <w:rPr>
          <w:rFonts w:ascii="Arial" w:eastAsia="Times New Roman" w:hAnsi="Arial" w:cs="Arial"/>
          <w:lang w:val="es-ES_tradnl" w:eastAsia="es-ES"/>
        </w:rPr>
      </w:pPr>
      <w:r w:rsidRPr="006C29B6">
        <w:rPr>
          <w:rFonts w:ascii="Arial" w:eastAsia="Times New Roman" w:hAnsi="Arial" w:cs="Arial"/>
          <w:lang w:val="es-ES_tradnl" w:eastAsia="es-ES"/>
        </w:rPr>
        <w:t>Que el Gobierno Nacional con fundamento en el artículo 12 de la Ley 4ª de 1992 expidió el Decreto número 1919 de agosto 27 de 2002, mediante el cual se dispuso que las personas que se vinculen al servicio público en el Distrito Capital y sus entidades descentralizadas a partir de la vigencia de la citada disposición que tengan el carácter de empleados públicos, gozarán del régimen prestacional señalado para los empleados de la Rama Ejecutiva del Poder Público del nivel nacional.</w:t>
      </w:r>
    </w:p>
    <w:p w:rsidR="006C29B6" w:rsidRPr="006C29B6" w:rsidRDefault="006C29B6" w:rsidP="006C29B6">
      <w:pPr>
        <w:spacing w:before="100" w:beforeAutospacing="1" w:after="100" w:afterAutospacing="1" w:line="240" w:lineRule="auto"/>
        <w:jc w:val="both"/>
        <w:rPr>
          <w:rFonts w:ascii="Arial" w:eastAsia="Times New Roman" w:hAnsi="Arial" w:cs="Arial"/>
          <w:lang w:val="es-ES" w:eastAsia="es-ES"/>
        </w:rPr>
      </w:pPr>
      <w:r w:rsidRPr="006C29B6">
        <w:rPr>
          <w:rFonts w:ascii="Arial" w:eastAsia="Times New Roman" w:hAnsi="Arial" w:cs="Arial"/>
          <w:lang w:val="es-ES" w:eastAsia="es-ES"/>
        </w:rPr>
        <w:t>Que los servidores públicos del Distrito Capital tienen derecho al reconocimiento de Cesantía, prestación social consistente en un auxilio monetario equivalente a un mes de sueldo por cada año de servicio continuo y proporcionalmente por fracciones de año; y para la liquidación de las mismas no podrán incluirse factores salariales diferentes a los expresamente señalados en el artículo 45 del Decreto 1045 de 1978.</w:t>
      </w:r>
    </w:p>
    <w:p w:rsidR="006C29B6" w:rsidRPr="006C29B6" w:rsidRDefault="006C29B6" w:rsidP="006C29B6">
      <w:pPr>
        <w:spacing w:after="0" w:line="240" w:lineRule="auto"/>
        <w:jc w:val="both"/>
        <w:rPr>
          <w:rFonts w:ascii="Arial" w:eastAsia="Times New Roman" w:hAnsi="Arial" w:cs="Arial"/>
          <w:lang w:val="es-ES_tradnl" w:eastAsia="es-ES"/>
        </w:rPr>
      </w:pPr>
      <w:r w:rsidRPr="006C29B6">
        <w:rPr>
          <w:rFonts w:ascii="Arial" w:eastAsia="Times New Roman" w:hAnsi="Arial" w:cs="Arial"/>
          <w:lang w:val="es-ES_tradnl" w:eastAsia="es-ES"/>
        </w:rPr>
        <w:t>Que los numerales 1, 2 y 3 del artículo 99 de la Ley 50 de 1990 “Por la cual se introducen reformas al Código Sustantivo del Trabajo y se dictan otras disposiciones” señalan que:</w:t>
      </w:r>
    </w:p>
    <w:p w:rsidR="006C29B6" w:rsidRPr="006C29B6" w:rsidRDefault="006C29B6" w:rsidP="006C29B6">
      <w:pPr>
        <w:spacing w:after="0" w:line="240" w:lineRule="auto"/>
        <w:jc w:val="both"/>
        <w:rPr>
          <w:rFonts w:ascii="Arial" w:eastAsia="Times New Roman" w:hAnsi="Arial" w:cs="Arial"/>
          <w:lang w:val="es-ES_tradnl" w:eastAsia="es-ES"/>
        </w:rPr>
      </w:pPr>
    </w:p>
    <w:p w:rsidR="006C29B6" w:rsidRPr="006C29B6" w:rsidRDefault="006C29B6" w:rsidP="006C29B6">
      <w:pPr>
        <w:spacing w:after="0" w:line="240" w:lineRule="auto"/>
        <w:ind w:left="708"/>
        <w:jc w:val="both"/>
        <w:rPr>
          <w:rFonts w:ascii="Arial" w:eastAsia="Times New Roman" w:hAnsi="Arial" w:cs="Arial"/>
          <w:lang w:val="es-ES_tradnl" w:eastAsia="es-ES"/>
        </w:rPr>
      </w:pPr>
      <w:r w:rsidRPr="006C29B6">
        <w:rPr>
          <w:rFonts w:ascii="Arial" w:eastAsia="Times New Roman" w:hAnsi="Arial" w:cs="Arial"/>
          <w:lang w:val="es-ES_tradnl" w:eastAsia="es-ES"/>
        </w:rPr>
        <w:t>“(…) 1 El 31 de diciembre de cada año se hará liquidación definitiva de cesantías, por la anualidad o por la fracción correspondiente, sin perjuicio de la que deba efectuarse en fecha diferente por la terminación del contrato de trabajo.</w:t>
      </w:r>
    </w:p>
    <w:p w:rsidR="006C29B6" w:rsidRPr="006C29B6" w:rsidRDefault="006C29B6" w:rsidP="006C29B6">
      <w:pPr>
        <w:spacing w:after="0" w:line="240" w:lineRule="auto"/>
        <w:ind w:left="708"/>
        <w:jc w:val="both"/>
        <w:rPr>
          <w:rFonts w:ascii="Arial" w:eastAsia="Times New Roman" w:hAnsi="Arial" w:cs="Arial"/>
          <w:lang w:val="es-ES_tradnl" w:eastAsia="es-ES"/>
        </w:rPr>
      </w:pPr>
      <w:r w:rsidRPr="006C29B6">
        <w:rPr>
          <w:rFonts w:ascii="Arial" w:eastAsia="Times New Roman" w:hAnsi="Arial" w:cs="Arial"/>
          <w:lang w:val="es-ES_tradnl" w:eastAsia="es-ES"/>
        </w:rPr>
        <w:t>2 El empleador cancelará al trabajador los intereses legales del 12% anual o proporcional por fracción, en los términos de las normas vigentes sobre el régimen tradicional de cesantías con respecto a la suma causada en el año o en la fracción que se liquide definitivamente.</w:t>
      </w:r>
    </w:p>
    <w:p w:rsidR="006C29B6" w:rsidRPr="006C29B6" w:rsidRDefault="006C29B6" w:rsidP="006C29B6">
      <w:pPr>
        <w:spacing w:after="0" w:line="240" w:lineRule="auto"/>
        <w:ind w:left="708"/>
        <w:jc w:val="both"/>
        <w:rPr>
          <w:rFonts w:ascii="Arial" w:eastAsia="Times New Roman" w:hAnsi="Arial" w:cs="Arial"/>
          <w:lang w:val="es-ES_tradnl" w:eastAsia="es-ES"/>
        </w:rPr>
      </w:pPr>
      <w:r w:rsidRPr="006C29B6">
        <w:rPr>
          <w:rFonts w:ascii="Arial" w:eastAsia="Times New Roman" w:hAnsi="Arial" w:cs="Arial"/>
          <w:color w:val="000000"/>
          <w:shd w:val="clear" w:color="auto" w:fill="FFFFFF"/>
          <w:lang w:val="es-ES_tradnl" w:eastAsia="es-ES"/>
        </w:rPr>
        <w:t>3 El valor liquidado por concepto de cesantía se consignará antes del 15 de febrero del año siguiente, en cuenta individual a nombre del trabajador en el fondo de cesantía que el mismo elija. El empleador que incumpla el plazo señalado deberá pagar un día de salario por cada retardo. (…)”</w:t>
      </w:r>
    </w:p>
    <w:p w:rsidR="006C29B6" w:rsidRPr="006C29B6" w:rsidRDefault="006C29B6" w:rsidP="006C29B6">
      <w:pPr>
        <w:spacing w:after="0" w:line="240" w:lineRule="auto"/>
        <w:jc w:val="both"/>
        <w:rPr>
          <w:rFonts w:ascii="Arial" w:eastAsia="Times New Roman" w:hAnsi="Arial" w:cs="Arial"/>
          <w:lang w:val="es-ES_tradnl" w:eastAsia="es-ES"/>
        </w:rPr>
      </w:pPr>
    </w:p>
    <w:p w:rsidR="006C29B6" w:rsidRPr="006C29B6" w:rsidRDefault="006C29B6" w:rsidP="006C29B6">
      <w:pPr>
        <w:spacing w:after="0" w:line="240" w:lineRule="auto"/>
        <w:jc w:val="both"/>
        <w:rPr>
          <w:rFonts w:ascii="Arial" w:eastAsia="Times New Roman" w:hAnsi="Arial" w:cs="Arial"/>
          <w:lang w:val="es-ES_tradnl" w:eastAsia="es-ES"/>
        </w:rPr>
      </w:pPr>
      <w:r w:rsidRPr="006C29B6">
        <w:rPr>
          <w:rFonts w:ascii="Arial" w:eastAsia="Times New Roman" w:hAnsi="Arial" w:cs="Arial"/>
          <w:lang w:val="es-ES_tradnl" w:eastAsia="es-ES"/>
        </w:rPr>
        <w:t xml:space="preserve">Que, en consecuencia, la Subdirección de Talento Humano procedió a liquidar las cesantías e intereses correspondientes. </w:t>
      </w:r>
    </w:p>
    <w:p w:rsidR="006C29B6" w:rsidRPr="006C29B6" w:rsidRDefault="006C29B6" w:rsidP="006C29B6">
      <w:pPr>
        <w:spacing w:after="0" w:line="240" w:lineRule="auto"/>
        <w:jc w:val="both"/>
        <w:rPr>
          <w:rFonts w:ascii="Arial" w:eastAsia="Times New Roman" w:hAnsi="Arial" w:cs="Arial"/>
          <w:lang w:val="es-ES_tradnl" w:eastAsia="es-ES"/>
        </w:rPr>
      </w:pPr>
    </w:p>
    <w:p w:rsidR="006C29B6" w:rsidRPr="006C29B6" w:rsidRDefault="006C29B6" w:rsidP="006C29B6">
      <w:pPr>
        <w:spacing w:after="0" w:line="240" w:lineRule="auto"/>
        <w:jc w:val="both"/>
        <w:rPr>
          <w:rFonts w:ascii="Arial" w:eastAsia="Times New Roman" w:hAnsi="Arial" w:cs="Arial"/>
          <w:b/>
          <w:lang w:val="es-ES_tradnl" w:eastAsia="es-ES"/>
        </w:rPr>
      </w:pPr>
      <w:r w:rsidRPr="006C29B6">
        <w:rPr>
          <w:rFonts w:ascii="Arial" w:eastAsia="Times New Roman" w:hAnsi="Arial" w:cs="Arial"/>
          <w:lang w:val="es-ES_tradnl" w:eastAsia="es-ES"/>
        </w:rPr>
        <w:lastRenderedPageBreak/>
        <w:t>Que los servidores públicos que se relacionan tienen derecho al reconocimiento y pago del Auxilio de Cesantías y sus Intereses causados durante al año 20--, por lo que este Despacho, en desarrollo de la facultad delegada, y con base en las normas precitadas.</w:t>
      </w:r>
    </w:p>
    <w:p w:rsidR="006C29B6" w:rsidRPr="006C29B6" w:rsidRDefault="006C29B6" w:rsidP="006C29B6">
      <w:pPr>
        <w:spacing w:after="0" w:line="240" w:lineRule="auto"/>
        <w:jc w:val="both"/>
        <w:rPr>
          <w:rFonts w:ascii="Arial" w:eastAsia="Times New Roman" w:hAnsi="Arial" w:cs="Arial"/>
          <w:lang w:val="es-ES_tradnl" w:eastAsia="es-ES"/>
        </w:rPr>
      </w:pPr>
    </w:p>
    <w:p w:rsidR="006C29B6" w:rsidRPr="006C29B6" w:rsidRDefault="006C29B6" w:rsidP="006C29B6">
      <w:pPr>
        <w:spacing w:after="0" w:line="240" w:lineRule="auto"/>
        <w:jc w:val="both"/>
        <w:rPr>
          <w:rFonts w:ascii="Arial" w:eastAsia="Times New Roman" w:hAnsi="Arial" w:cs="Arial"/>
          <w:lang w:val="es-ES_tradnl" w:eastAsia="es-ES"/>
        </w:rPr>
      </w:pPr>
      <w:r w:rsidRPr="006C29B6">
        <w:rPr>
          <w:rFonts w:ascii="Arial" w:eastAsia="Times New Roman" w:hAnsi="Arial" w:cs="Arial"/>
          <w:lang w:val="es-ES_tradnl" w:eastAsia="es-ES"/>
        </w:rPr>
        <w:t>Que el artículo 1º del Decreto 1582 de 1998, establece el régimen de liquidación y pago de las cesantías de los servidores públicos del nivel territorial vinculados a partir del 31 de diciembre de 1996 que se afilien a fondos privados de cesantías, el cual corresponde al previsto en los artículos 99, 102, 104 y demás normas concordantes con la Ley 50 de 1990.</w:t>
      </w:r>
    </w:p>
    <w:p w:rsidR="006C29B6" w:rsidRPr="006C29B6" w:rsidRDefault="006C29B6" w:rsidP="006C29B6">
      <w:pPr>
        <w:tabs>
          <w:tab w:val="left" w:pos="2268"/>
          <w:tab w:val="decimal" w:pos="7655"/>
        </w:tabs>
        <w:spacing w:after="0" w:line="240" w:lineRule="auto"/>
        <w:jc w:val="center"/>
        <w:rPr>
          <w:rFonts w:ascii="Arial" w:eastAsia="Times New Roman" w:hAnsi="Arial" w:cs="Arial"/>
          <w:b/>
          <w:lang w:val="es-ES_tradnl" w:eastAsia="es-ES"/>
        </w:rPr>
      </w:pPr>
    </w:p>
    <w:p w:rsidR="006C29B6" w:rsidRPr="006C29B6" w:rsidRDefault="006C29B6" w:rsidP="006C29B6">
      <w:pPr>
        <w:tabs>
          <w:tab w:val="left" w:pos="2268"/>
          <w:tab w:val="decimal" w:pos="7655"/>
        </w:tabs>
        <w:spacing w:after="0" w:line="240" w:lineRule="auto"/>
        <w:jc w:val="center"/>
        <w:rPr>
          <w:rFonts w:ascii="Arial" w:eastAsia="Times New Roman" w:hAnsi="Arial" w:cs="Arial"/>
          <w:b/>
          <w:lang w:val="es-ES_tradnl" w:eastAsia="es-ES"/>
        </w:rPr>
      </w:pPr>
    </w:p>
    <w:p w:rsidR="006C29B6" w:rsidRPr="006C29B6" w:rsidRDefault="006C29B6" w:rsidP="006C29B6">
      <w:pPr>
        <w:tabs>
          <w:tab w:val="left" w:pos="2268"/>
          <w:tab w:val="decimal" w:pos="7655"/>
        </w:tabs>
        <w:spacing w:after="0" w:line="240" w:lineRule="auto"/>
        <w:jc w:val="center"/>
        <w:rPr>
          <w:rFonts w:ascii="Arial" w:eastAsia="Times New Roman" w:hAnsi="Arial" w:cs="Arial"/>
          <w:b/>
          <w:lang w:val="es-ES_tradnl" w:eastAsia="es-ES"/>
        </w:rPr>
      </w:pPr>
      <w:r w:rsidRPr="006C29B6">
        <w:rPr>
          <w:rFonts w:ascii="Arial" w:eastAsia="Times New Roman" w:hAnsi="Arial" w:cs="Arial"/>
          <w:b/>
          <w:lang w:val="es-ES_tradnl" w:eastAsia="es-ES"/>
        </w:rPr>
        <w:t>R E S U E L V E:</w:t>
      </w:r>
    </w:p>
    <w:p w:rsidR="006C29B6" w:rsidRPr="006C29B6" w:rsidRDefault="006C29B6" w:rsidP="006C29B6">
      <w:pPr>
        <w:tabs>
          <w:tab w:val="left" w:pos="2268"/>
          <w:tab w:val="decimal" w:pos="7655"/>
        </w:tabs>
        <w:spacing w:after="0" w:line="240" w:lineRule="auto"/>
        <w:jc w:val="both"/>
        <w:rPr>
          <w:rFonts w:ascii="Arial" w:eastAsia="Times New Roman" w:hAnsi="Arial" w:cs="Arial"/>
          <w:lang w:val="es-ES_tradnl" w:eastAsia="es-ES"/>
        </w:rPr>
      </w:pPr>
    </w:p>
    <w:p w:rsidR="006C29B6" w:rsidRPr="006C29B6" w:rsidRDefault="006C29B6" w:rsidP="006C29B6">
      <w:pPr>
        <w:tabs>
          <w:tab w:val="left" w:pos="2268"/>
          <w:tab w:val="decimal" w:pos="7655"/>
        </w:tabs>
        <w:spacing w:after="0" w:line="240" w:lineRule="auto"/>
        <w:jc w:val="both"/>
        <w:rPr>
          <w:rFonts w:ascii="Arial" w:eastAsia="Times New Roman" w:hAnsi="Arial" w:cs="Arial"/>
          <w:lang w:val="es-ES_tradnl" w:eastAsia="es-ES"/>
        </w:rPr>
      </w:pPr>
      <w:r w:rsidRPr="006C29B6">
        <w:rPr>
          <w:rFonts w:ascii="Arial" w:eastAsia="Times New Roman" w:hAnsi="Arial" w:cs="Arial"/>
          <w:b/>
          <w:lang w:val="es-ES_tradnl" w:eastAsia="es-ES"/>
        </w:rPr>
        <w:t xml:space="preserve">ARTÍCULO PRIMERO: </w:t>
      </w:r>
      <w:r w:rsidRPr="006C29B6">
        <w:rPr>
          <w:rFonts w:ascii="Arial" w:eastAsia="Times New Roman" w:hAnsi="Arial" w:cs="Arial"/>
          <w:b/>
          <w:lang w:val="es-ES_tradnl" w:eastAsia="es-ES"/>
        </w:rPr>
        <w:tab/>
      </w:r>
      <w:r w:rsidRPr="006C29B6">
        <w:rPr>
          <w:rFonts w:ascii="Arial" w:eastAsia="Times New Roman" w:hAnsi="Arial" w:cs="Arial"/>
          <w:lang w:val="es-ES_tradnl" w:eastAsia="es-ES"/>
        </w:rPr>
        <w:t>Reconocer y ordenar el pago por concepto de cesantías e intereses a las cesantías causadas del 1 de enero al 31 de diciembre de 20--, a los servidores públicos que a continuación se relacionan en las sumas allí indicadas, así:</w:t>
      </w:r>
    </w:p>
    <w:p w:rsidR="006C29B6" w:rsidRPr="006C29B6" w:rsidRDefault="006C29B6" w:rsidP="006C29B6">
      <w:pPr>
        <w:tabs>
          <w:tab w:val="left" w:pos="2268"/>
          <w:tab w:val="decimal" w:pos="7655"/>
        </w:tabs>
        <w:spacing w:after="0" w:line="240" w:lineRule="auto"/>
        <w:jc w:val="both"/>
        <w:rPr>
          <w:rFonts w:ascii="Arial" w:eastAsia="Times New Roman" w:hAnsi="Arial" w:cs="Arial"/>
          <w:lang w:val="es-ES_tradnl" w:eastAsia="es-ES"/>
        </w:rPr>
      </w:pPr>
    </w:p>
    <w:tbl>
      <w:tblPr>
        <w:tblW w:w="88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1400"/>
        <w:gridCol w:w="4203"/>
        <w:gridCol w:w="1275"/>
        <w:gridCol w:w="1418"/>
      </w:tblGrid>
      <w:tr w:rsidR="006C29B6" w:rsidRPr="006C29B6" w:rsidTr="00AC2BAB">
        <w:trPr>
          <w:trHeight w:val="270"/>
        </w:trPr>
        <w:tc>
          <w:tcPr>
            <w:tcW w:w="6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r w:rsidRPr="006C29B6">
              <w:rPr>
                <w:rFonts w:ascii="Arial" w:eastAsia="Times New Roman" w:hAnsi="Arial" w:cs="Arial"/>
                <w:b/>
                <w:lang w:val="es-ES_tradnl" w:eastAsia="es-ES"/>
              </w:rPr>
              <w:t>#</w:t>
            </w:r>
          </w:p>
        </w:tc>
        <w:tc>
          <w:tcPr>
            <w:tcW w:w="14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r w:rsidRPr="006C29B6">
              <w:rPr>
                <w:rFonts w:ascii="Arial" w:eastAsia="Times New Roman" w:hAnsi="Arial" w:cs="Arial"/>
                <w:b/>
                <w:lang w:val="es-ES_tradnl" w:eastAsia="es-ES"/>
              </w:rPr>
              <w:t>CEDULA</w:t>
            </w:r>
          </w:p>
        </w:tc>
        <w:tc>
          <w:tcPr>
            <w:tcW w:w="4203"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r w:rsidRPr="006C29B6">
              <w:rPr>
                <w:rFonts w:ascii="Arial" w:eastAsia="Times New Roman" w:hAnsi="Arial" w:cs="Arial"/>
                <w:b/>
                <w:lang w:val="es-ES_tradnl" w:eastAsia="es-ES"/>
              </w:rPr>
              <w:t>APELLIDOS Y NOMBRES</w:t>
            </w:r>
          </w:p>
        </w:tc>
        <w:tc>
          <w:tcPr>
            <w:tcW w:w="1275"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r w:rsidRPr="006C29B6">
              <w:rPr>
                <w:rFonts w:ascii="Arial" w:eastAsia="Times New Roman" w:hAnsi="Arial" w:cs="Arial"/>
                <w:b/>
                <w:lang w:val="es-ES_tradnl" w:eastAsia="es-ES"/>
              </w:rPr>
              <w:t>CESANTÍA</w:t>
            </w:r>
          </w:p>
        </w:tc>
        <w:tc>
          <w:tcPr>
            <w:tcW w:w="1418"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r w:rsidRPr="006C29B6">
              <w:rPr>
                <w:rFonts w:ascii="Arial" w:eastAsia="Times New Roman" w:hAnsi="Arial" w:cs="Arial"/>
                <w:b/>
                <w:lang w:val="es-ES_tradnl" w:eastAsia="es-ES"/>
              </w:rPr>
              <w:t>INTERÉS</w:t>
            </w:r>
          </w:p>
        </w:tc>
      </w:tr>
      <w:tr w:rsidR="006C29B6" w:rsidRPr="006C29B6" w:rsidTr="00AC2BAB">
        <w:trPr>
          <w:trHeight w:val="270"/>
        </w:trPr>
        <w:tc>
          <w:tcPr>
            <w:tcW w:w="6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4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4203"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275"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418"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r>
      <w:tr w:rsidR="006C29B6" w:rsidRPr="006C29B6" w:rsidTr="00AC2BAB">
        <w:trPr>
          <w:trHeight w:val="270"/>
        </w:trPr>
        <w:tc>
          <w:tcPr>
            <w:tcW w:w="6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4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4203"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275"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418"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r>
      <w:tr w:rsidR="006C29B6" w:rsidRPr="006C29B6" w:rsidTr="00AC2BAB">
        <w:trPr>
          <w:trHeight w:val="270"/>
        </w:trPr>
        <w:tc>
          <w:tcPr>
            <w:tcW w:w="6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4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4203"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275"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418"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r>
      <w:tr w:rsidR="006C29B6" w:rsidRPr="006C29B6" w:rsidTr="00AC2BAB">
        <w:trPr>
          <w:trHeight w:val="270"/>
        </w:trPr>
        <w:tc>
          <w:tcPr>
            <w:tcW w:w="6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4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4203"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275"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418"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r>
      <w:tr w:rsidR="006C29B6" w:rsidRPr="006C29B6" w:rsidTr="00AC2BAB">
        <w:trPr>
          <w:trHeight w:val="270"/>
        </w:trPr>
        <w:tc>
          <w:tcPr>
            <w:tcW w:w="6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4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4203"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275"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418"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r>
      <w:tr w:rsidR="006C29B6" w:rsidRPr="006C29B6" w:rsidTr="00AC2BAB">
        <w:trPr>
          <w:trHeight w:val="270"/>
        </w:trPr>
        <w:tc>
          <w:tcPr>
            <w:tcW w:w="6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400"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4203"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275"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c>
          <w:tcPr>
            <w:tcW w:w="1418" w:type="dxa"/>
            <w:shd w:val="clear" w:color="auto" w:fill="auto"/>
            <w:noWrap/>
            <w:vAlign w:val="bottom"/>
          </w:tcPr>
          <w:p w:rsidR="006C29B6" w:rsidRPr="006C29B6" w:rsidRDefault="006C29B6" w:rsidP="006C29B6">
            <w:pPr>
              <w:spacing w:after="0" w:line="240" w:lineRule="auto"/>
              <w:jc w:val="center"/>
              <w:rPr>
                <w:rFonts w:ascii="Arial" w:eastAsia="Times New Roman" w:hAnsi="Arial" w:cs="Arial"/>
                <w:b/>
                <w:lang w:val="es-ES_tradnl" w:eastAsia="es-ES"/>
              </w:rPr>
            </w:pPr>
          </w:p>
        </w:tc>
      </w:tr>
    </w:tbl>
    <w:p w:rsidR="006C29B6" w:rsidRPr="006C29B6" w:rsidRDefault="006C29B6" w:rsidP="006C29B6">
      <w:pPr>
        <w:spacing w:after="0" w:line="240" w:lineRule="auto"/>
        <w:jc w:val="center"/>
        <w:rPr>
          <w:rFonts w:ascii="Arial" w:eastAsia="Times New Roman" w:hAnsi="Arial" w:cs="Arial"/>
          <w:b/>
          <w:lang w:eastAsia="es-ES"/>
        </w:rPr>
      </w:pPr>
    </w:p>
    <w:p w:rsidR="006C29B6" w:rsidRPr="006C29B6" w:rsidRDefault="006C29B6" w:rsidP="006C29B6">
      <w:pPr>
        <w:spacing w:after="0" w:line="240" w:lineRule="auto"/>
        <w:jc w:val="center"/>
        <w:rPr>
          <w:rFonts w:ascii="Arial" w:eastAsia="Times New Roman" w:hAnsi="Arial" w:cs="Arial"/>
          <w:b/>
          <w:lang w:eastAsia="es-ES"/>
        </w:rPr>
      </w:pPr>
    </w:p>
    <w:p w:rsidR="006C29B6" w:rsidRPr="006C29B6" w:rsidRDefault="006C29B6" w:rsidP="006C29B6">
      <w:pPr>
        <w:tabs>
          <w:tab w:val="left" w:pos="1134"/>
          <w:tab w:val="left" w:pos="1701"/>
          <w:tab w:val="left" w:pos="2268"/>
          <w:tab w:val="left" w:pos="4253"/>
          <w:tab w:val="left" w:pos="5103"/>
          <w:tab w:val="left" w:pos="6096"/>
          <w:tab w:val="decimal" w:pos="7938"/>
          <w:tab w:val="decimal" w:pos="8222"/>
        </w:tabs>
        <w:spacing w:after="0" w:line="240" w:lineRule="auto"/>
        <w:jc w:val="both"/>
        <w:rPr>
          <w:rFonts w:ascii="Arial" w:eastAsia="Times New Roman" w:hAnsi="Arial" w:cs="Arial"/>
          <w:b/>
          <w:lang w:val="es-ES_tradnl" w:eastAsia="es-ES"/>
        </w:rPr>
      </w:pPr>
      <w:r w:rsidRPr="006C29B6">
        <w:rPr>
          <w:rFonts w:ascii="Arial" w:eastAsia="Times New Roman" w:hAnsi="Arial" w:cs="Arial"/>
          <w:b/>
          <w:lang w:val="es-ES_tradnl" w:eastAsia="es-ES"/>
        </w:rPr>
        <w:t xml:space="preserve">ARTICULO SEGUNDO: </w:t>
      </w:r>
      <w:r w:rsidRPr="006C29B6">
        <w:rPr>
          <w:rFonts w:ascii="Arial" w:eastAsia="Times New Roman" w:hAnsi="Arial" w:cs="Arial"/>
          <w:lang w:val="es-ES_tradnl" w:eastAsia="es-ES"/>
        </w:rPr>
        <w:t>Este pago se hará teniendo en cuenta el certificado de disponibilidad presupuestal número -- del  de diciembre de 20-- expedido por la Subdirección Financiera de la Entidad, quien realizará el pago respectivo:</w:t>
      </w:r>
    </w:p>
    <w:p w:rsidR="006C29B6" w:rsidRPr="006C29B6" w:rsidRDefault="006C29B6" w:rsidP="006C29B6">
      <w:pPr>
        <w:tabs>
          <w:tab w:val="left" w:pos="2268"/>
          <w:tab w:val="decimal" w:pos="7655"/>
        </w:tabs>
        <w:spacing w:after="0" w:line="240" w:lineRule="auto"/>
        <w:jc w:val="both"/>
        <w:rPr>
          <w:rFonts w:ascii="Arial" w:eastAsia="Times New Roman" w:hAnsi="Arial" w:cs="Arial"/>
          <w:b/>
          <w:lang w:val="es-ES_tradnl" w:eastAsia="es-ES"/>
        </w:rPr>
      </w:pPr>
    </w:p>
    <w:p w:rsidR="006C29B6" w:rsidRPr="006C29B6" w:rsidRDefault="006C29B6" w:rsidP="006C29B6">
      <w:pPr>
        <w:tabs>
          <w:tab w:val="left" w:pos="2268"/>
          <w:tab w:val="decimal" w:pos="7655"/>
        </w:tabs>
        <w:spacing w:after="0" w:line="240" w:lineRule="auto"/>
        <w:jc w:val="both"/>
        <w:rPr>
          <w:rFonts w:ascii="Arial" w:eastAsia="Times New Roman" w:hAnsi="Arial" w:cs="Arial"/>
          <w:lang w:val="es-ES_tradnl" w:eastAsia="es-ES"/>
        </w:rPr>
      </w:pPr>
      <w:r w:rsidRPr="006C29B6">
        <w:rPr>
          <w:rFonts w:ascii="Arial" w:eastAsia="Times New Roman" w:hAnsi="Arial" w:cs="Arial"/>
          <w:b/>
          <w:lang w:val="es-ES_tradnl" w:eastAsia="es-ES"/>
        </w:rPr>
        <w:t xml:space="preserve">ARTICULO TERCERO:   </w:t>
      </w:r>
      <w:r w:rsidRPr="006C29B6">
        <w:rPr>
          <w:rFonts w:ascii="Arial" w:eastAsia="Times New Roman" w:hAnsi="Arial" w:cs="Arial"/>
          <w:lang w:val="es-ES_tradnl" w:eastAsia="es-ES"/>
        </w:rPr>
        <w:t>La erogación que cause el cumplimiento de la presente Resolución, se hará con cargo a la actual vigencia fiscal.</w:t>
      </w:r>
    </w:p>
    <w:p w:rsidR="006C29B6" w:rsidRPr="006C29B6" w:rsidRDefault="006C29B6" w:rsidP="006C29B6">
      <w:pPr>
        <w:tabs>
          <w:tab w:val="left" w:pos="2268"/>
          <w:tab w:val="decimal" w:pos="7655"/>
        </w:tabs>
        <w:spacing w:after="0" w:line="240" w:lineRule="auto"/>
        <w:jc w:val="both"/>
        <w:rPr>
          <w:rFonts w:ascii="Arial" w:eastAsia="Times New Roman" w:hAnsi="Arial" w:cs="Arial"/>
          <w:lang w:val="es-ES_tradnl" w:eastAsia="es-ES"/>
        </w:rPr>
      </w:pPr>
    </w:p>
    <w:p w:rsidR="006C29B6" w:rsidRPr="006C29B6" w:rsidRDefault="006C29B6" w:rsidP="006C29B6">
      <w:pPr>
        <w:tabs>
          <w:tab w:val="left" w:pos="2268"/>
          <w:tab w:val="decimal" w:pos="7655"/>
        </w:tabs>
        <w:spacing w:after="0" w:line="240" w:lineRule="auto"/>
        <w:jc w:val="both"/>
        <w:rPr>
          <w:rFonts w:ascii="Arial" w:eastAsia="Times New Roman" w:hAnsi="Arial" w:cs="Arial"/>
          <w:lang w:val="es-ES_tradnl" w:eastAsia="es-ES"/>
        </w:rPr>
      </w:pPr>
      <w:r w:rsidRPr="006C29B6">
        <w:rPr>
          <w:rFonts w:ascii="Arial" w:eastAsia="Times New Roman" w:hAnsi="Arial" w:cs="Arial"/>
          <w:b/>
          <w:lang w:val="es-ES_tradnl" w:eastAsia="es-ES"/>
        </w:rPr>
        <w:t xml:space="preserve">ARTICULO CUARTO: </w:t>
      </w:r>
      <w:r w:rsidRPr="006C29B6">
        <w:rPr>
          <w:rFonts w:ascii="Arial" w:eastAsia="Times New Roman" w:hAnsi="Arial" w:cs="Arial"/>
          <w:lang w:val="es-ES_tradnl" w:eastAsia="es-ES"/>
        </w:rPr>
        <w:t>La presente Resolución rige a partir de la fecha de su expedición.</w:t>
      </w:r>
    </w:p>
    <w:p w:rsidR="006C29B6" w:rsidRPr="006C29B6" w:rsidRDefault="006C29B6" w:rsidP="006C29B6">
      <w:pPr>
        <w:tabs>
          <w:tab w:val="left" w:pos="2268"/>
          <w:tab w:val="decimal" w:pos="7655"/>
        </w:tabs>
        <w:spacing w:after="0" w:line="240" w:lineRule="auto"/>
        <w:jc w:val="center"/>
        <w:rPr>
          <w:rFonts w:ascii="Arial" w:eastAsia="Times New Roman" w:hAnsi="Arial" w:cs="Arial"/>
          <w:b/>
          <w:lang w:val="es-ES_tradnl" w:eastAsia="es-ES"/>
        </w:rPr>
      </w:pPr>
    </w:p>
    <w:p w:rsidR="006C29B6" w:rsidRPr="006C29B6" w:rsidRDefault="006C29B6" w:rsidP="006C29B6">
      <w:pPr>
        <w:tabs>
          <w:tab w:val="left" w:pos="2268"/>
          <w:tab w:val="decimal" w:pos="7655"/>
        </w:tabs>
        <w:spacing w:after="0" w:line="240" w:lineRule="auto"/>
        <w:jc w:val="center"/>
        <w:rPr>
          <w:rFonts w:ascii="Arial" w:eastAsia="Times New Roman" w:hAnsi="Arial" w:cs="Arial"/>
          <w:b/>
          <w:lang w:val="es-ES_tradnl" w:eastAsia="es-ES"/>
        </w:rPr>
      </w:pPr>
      <w:r w:rsidRPr="006C29B6">
        <w:rPr>
          <w:rFonts w:ascii="Arial" w:eastAsia="Times New Roman" w:hAnsi="Arial" w:cs="Arial"/>
          <w:b/>
          <w:lang w:val="es-ES_tradnl" w:eastAsia="es-ES"/>
        </w:rPr>
        <w:t>COMUNÍQUESE Y CÚMPLASE</w:t>
      </w:r>
    </w:p>
    <w:p w:rsidR="006C29B6" w:rsidRPr="006C29B6" w:rsidRDefault="006C29B6" w:rsidP="006C29B6">
      <w:pPr>
        <w:tabs>
          <w:tab w:val="left" w:pos="2268"/>
          <w:tab w:val="decimal" w:pos="7655"/>
        </w:tabs>
        <w:spacing w:after="0" w:line="240" w:lineRule="auto"/>
        <w:jc w:val="both"/>
        <w:rPr>
          <w:rFonts w:ascii="Arial" w:eastAsia="Times New Roman" w:hAnsi="Arial" w:cs="Arial"/>
          <w:lang w:val="es-ES_tradnl" w:eastAsia="es-ES"/>
        </w:rPr>
      </w:pPr>
    </w:p>
    <w:p w:rsidR="006C29B6" w:rsidRPr="006C29B6" w:rsidRDefault="006C29B6" w:rsidP="006C29B6">
      <w:pPr>
        <w:tabs>
          <w:tab w:val="left" w:pos="2268"/>
          <w:tab w:val="decimal" w:pos="7655"/>
        </w:tabs>
        <w:spacing w:after="0" w:line="240" w:lineRule="auto"/>
        <w:jc w:val="both"/>
        <w:rPr>
          <w:rFonts w:ascii="Arial" w:eastAsia="Times New Roman" w:hAnsi="Arial" w:cs="Arial"/>
          <w:lang w:val="es-ES_tradnl" w:eastAsia="es-ES"/>
        </w:rPr>
      </w:pPr>
    </w:p>
    <w:p w:rsidR="006C29B6" w:rsidRPr="006C29B6" w:rsidRDefault="006C29B6" w:rsidP="006C29B6">
      <w:pPr>
        <w:tabs>
          <w:tab w:val="left" w:pos="2268"/>
          <w:tab w:val="decimal" w:pos="7655"/>
        </w:tabs>
        <w:spacing w:after="0" w:line="240" w:lineRule="auto"/>
        <w:jc w:val="both"/>
        <w:rPr>
          <w:rFonts w:ascii="Arial" w:eastAsia="Times New Roman" w:hAnsi="Arial" w:cs="Arial"/>
          <w:b/>
          <w:lang w:val="es-ES_tradnl" w:eastAsia="es-ES"/>
        </w:rPr>
      </w:pPr>
      <w:r w:rsidRPr="006C29B6">
        <w:rPr>
          <w:rFonts w:ascii="Arial" w:eastAsia="Times New Roman" w:hAnsi="Arial" w:cs="Arial"/>
          <w:lang w:val="es-ES_tradnl" w:eastAsia="es-ES"/>
        </w:rPr>
        <w:tab/>
        <w:t>Dada en Bogotá, D.C., a los</w:t>
      </w:r>
    </w:p>
    <w:p w:rsidR="006C29B6" w:rsidRPr="006C29B6" w:rsidRDefault="006C29B6" w:rsidP="006C29B6">
      <w:pPr>
        <w:tabs>
          <w:tab w:val="left" w:pos="2268"/>
          <w:tab w:val="decimal" w:pos="7655"/>
        </w:tabs>
        <w:spacing w:after="0" w:line="240" w:lineRule="auto"/>
        <w:jc w:val="center"/>
        <w:rPr>
          <w:rFonts w:ascii="Arial" w:eastAsia="Times New Roman" w:hAnsi="Arial" w:cs="Arial"/>
          <w:b/>
          <w:lang w:val="es-ES_tradnl" w:eastAsia="es-ES"/>
        </w:rPr>
      </w:pPr>
    </w:p>
    <w:p w:rsidR="006C29B6" w:rsidRPr="006C29B6" w:rsidRDefault="006C29B6" w:rsidP="006C29B6">
      <w:pPr>
        <w:tabs>
          <w:tab w:val="left" w:pos="2268"/>
          <w:tab w:val="decimal" w:pos="7655"/>
        </w:tabs>
        <w:spacing w:after="0" w:line="240" w:lineRule="auto"/>
        <w:jc w:val="center"/>
        <w:rPr>
          <w:rFonts w:ascii="Arial" w:eastAsia="Times New Roman" w:hAnsi="Arial" w:cs="Arial"/>
          <w:b/>
          <w:lang w:val="es-ES_tradnl" w:eastAsia="es-ES"/>
        </w:rPr>
      </w:pPr>
    </w:p>
    <w:p w:rsidR="006C29B6" w:rsidRPr="006C29B6" w:rsidRDefault="006C29B6" w:rsidP="006C29B6">
      <w:pPr>
        <w:tabs>
          <w:tab w:val="left" w:pos="2268"/>
          <w:tab w:val="decimal" w:pos="7655"/>
        </w:tabs>
        <w:spacing w:after="0" w:line="240" w:lineRule="auto"/>
        <w:jc w:val="center"/>
        <w:rPr>
          <w:rFonts w:ascii="Arial" w:eastAsia="Times New Roman" w:hAnsi="Arial" w:cs="Arial"/>
          <w:b/>
          <w:lang w:val="es-ES_tradnl" w:eastAsia="es-ES"/>
        </w:rPr>
      </w:pPr>
    </w:p>
    <w:p w:rsidR="006C29B6" w:rsidRPr="006C29B6" w:rsidRDefault="006C29B6" w:rsidP="006C29B6">
      <w:pPr>
        <w:tabs>
          <w:tab w:val="left" w:pos="2268"/>
          <w:tab w:val="decimal" w:pos="7655"/>
        </w:tabs>
        <w:spacing w:after="0" w:line="240" w:lineRule="auto"/>
        <w:jc w:val="center"/>
        <w:rPr>
          <w:rFonts w:ascii="Arial" w:eastAsia="Times New Roman" w:hAnsi="Arial" w:cs="Arial"/>
          <w:b/>
          <w:lang w:val="es-ES_tradnl" w:eastAsia="es-ES"/>
        </w:rPr>
      </w:pPr>
    </w:p>
    <w:p w:rsidR="006C29B6" w:rsidRPr="006C29B6" w:rsidRDefault="006C29B6" w:rsidP="006C29B6">
      <w:pPr>
        <w:tabs>
          <w:tab w:val="left" w:pos="2268"/>
          <w:tab w:val="decimal" w:pos="7655"/>
        </w:tabs>
        <w:spacing w:after="0" w:line="240" w:lineRule="auto"/>
        <w:jc w:val="center"/>
        <w:rPr>
          <w:rFonts w:ascii="Arial" w:eastAsia="Times New Roman" w:hAnsi="Arial" w:cs="Arial"/>
          <w:b/>
          <w:lang w:val="es-ES_tradnl" w:eastAsia="es-ES"/>
        </w:rPr>
      </w:pPr>
    </w:p>
    <w:p w:rsidR="006C29B6" w:rsidRPr="006C29B6" w:rsidRDefault="006C29B6" w:rsidP="006C29B6">
      <w:pPr>
        <w:tabs>
          <w:tab w:val="left" w:pos="2268"/>
          <w:tab w:val="decimal" w:pos="7655"/>
        </w:tabs>
        <w:spacing w:after="0" w:line="240" w:lineRule="auto"/>
        <w:jc w:val="center"/>
        <w:rPr>
          <w:rFonts w:ascii="Arial" w:eastAsia="Times New Roman" w:hAnsi="Arial" w:cs="Arial"/>
          <w:b/>
          <w:lang w:val="es-ES_tradnl" w:eastAsia="es-ES"/>
        </w:rPr>
      </w:pPr>
    </w:p>
    <w:p w:rsidR="006C29B6" w:rsidRPr="006C29B6" w:rsidRDefault="006C29B6" w:rsidP="006C29B6">
      <w:pPr>
        <w:spacing w:after="0" w:line="240" w:lineRule="auto"/>
        <w:jc w:val="center"/>
        <w:rPr>
          <w:rFonts w:ascii="Arial" w:eastAsia="Times New Roman" w:hAnsi="Arial" w:cs="Arial"/>
          <w:b/>
          <w:bCs/>
          <w:lang w:val="es-ES_tradnl" w:eastAsia="es-ES"/>
        </w:rPr>
      </w:pPr>
      <w:r w:rsidRPr="006C29B6">
        <w:rPr>
          <w:rFonts w:ascii="Arial" w:eastAsia="Times New Roman" w:hAnsi="Arial" w:cs="Arial"/>
          <w:b/>
          <w:bCs/>
          <w:lang w:val="es-ES_tradnl" w:eastAsia="es-ES"/>
        </w:rPr>
        <w:t>DIRECTOR TÉCNICO DE TALENTO HUMANO</w:t>
      </w:r>
    </w:p>
    <w:p w:rsidR="006C29B6" w:rsidRPr="006C29B6" w:rsidRDefault="006C29B6" w:rsidP="006C29B6">
      <w:pPr>
        <w:spacing w:after="0" w:line="240" w:lineRule="auto"/>
        <w:rPr>
          <w:rFonts w:ascii="Arial" w:eastAsia="Times New Roman" w:hAnsi="Arial" w:cs="Arial"/>
          <w:lang w:val="es-ES_tradnl" w:eastAsia="es-ES"/>
        </w:rPr>
      </w:pPr>
    </w:p>
    <w:p w:rsidR="006C29B6" w:rsidRPr="006C29B6" w:rsidRDefault="006C29B6" w:rsidP="006C29B6">
      <w:pPr>
        <w:spacing w:after="0" w:line="240" w:lineRule="auto"/>
        <w:rPr>
          <w:rFonts w:ascii="Arial" w:eastAsia="Times New Roman" w:hAnsi="Arial" w:cs="Arial"/>
          <w:sz w:val="16"/>
          <w:szCs w:val="16"/>
          <w:lang w:val="es-ES_tradnl" w:eastAsia="es-ES"/>
        </w:rPr>
      </w:pPr>
      <w:r w:rsidRPr="006C29B6">
        <w:rPr>
          <w:rFonts w:ascii="Arial" w:eastAsia="Times New Roman" w:hAnsi="Arial" w:cs="Arial"/>
          <w:sz w:val="16"/>
          <w:szCs w:val="16"/>
          <w:lang w:val="es-ES_tradnl" w:eastAsia="es-ES"/>
        </w:rPr>
        <w:t>Proyecto: (NOMBRE DEL SERVIDOR PÚBLICO)</w:t>
      </w:r>
    </w:p>
    <w:p w:rsidR="006C29B6" w:rsidRPr="006C29B6" w:rsidRDefault="006C29B6" w:rsidP="006C29B6">
      <w:pPr>
        <w:spacing w:after="0" w:line="240" w:lineRule="auto"/>
        <w:rPr>
          <w:rFonts w:ascii="Arial" w:eastAsia="Times New Roman" w:hAnsi="Arial" w:cs="Arial"/>
          <w:sz w:val="16"/>
          <w:szCs w:val="16"/>
          <w:lang w:val="es-ES_tradnl" w:eastAsia="es-ES"/>
        </w:rPr>
      </w:pPr>
      <w:r w:rsidRPr="006C29B6">
        <w:rPr>
          <w:rFonts w:ascii="Arial" w:eastAsia="Times New Roman" w:hAnsi="Arial" w:cs="Arial"/>
          <w:sz w:val="16"/>
          <w:szCs w:val="16"/>
          <w:lang w:val="es-ES_tradnl" w:eastAsia="es-ES"/>
        </w:rPr>
        <w:t>Elaboró: (NOMBRE DEL SERVIDOR PÚBLICO)</w:t>
      </w:r>
    </w:p>
    <w:p w:rsidR="006C29B6" w:rsidRPr="006C29B6" w:rsidRDefault="006C29B6" w:rsidP="006C29B6">
      <w:pPr>
        <w:spacing w:after="0" w:line="240" w:lineRule="auto"/>
        <w:rPr>
          <w:rFonts w:ascii="Arial" w:eastAsia="Times New Roman" w:hAnsi="Arial" w:cs="Arial"/>
          <w:sz w:val="16"/>
          <w:szCs w:val="16"/>
          <w:lang w:val="es-ES_tradnl" w:eastAsia="es-ES"/>
        </w:rPr>
      </w:pPr>
      <w:r w:rsidRPr="006C29B6">
        <w:rPr>
          <w:rFonts w:ascii="Arial" w:eastAsia="Times New Roman" w:hAnsi="Arial" w:cs="Arial"/>
          <w:sz w:val="16"/>
          <w:szCs w:val="16"/>
          <w:lang w:val="es-ES_tradnl" w:eastAsia="es-ES"/>
        </w:rPr>
        <w:t>Revisó:   (NOMBRE DEL SERVIDOR PÚBLICO)</w:t>
      </w:r>
    </w:p>
    <w:p w:rsidR="006C29B6" w:rsidRPr="006C29B6" w:rsidRDefault="006C29B6" w:rsidP="006C29B6">
      <w:pPr>
        <w:spacing w:after="0" w:line="240" w:lineRule="auto"/>
        <w:jc w:val="right"/>
        <w:rPr>
          <w:rFonts w:ascii="Arial" w:eastAsia="Times New Roman" w:hAnsi="Arial" w:cs="Arial"/>
          <w:sz w:val="16"/>
          <w:szCs w:val="16"/>
          <w:lang w:val="es-ES_tradnl" w:eastAsia="es-ES"/>
        </w:rPr>
        <w:sectPr w:rsidR="006C29B6" w:rsidRPr="006C29B6" w:rsidSect="006B5190">
          <w:headerReference w:type="even" r:id="rId7"/>
          <w:headerReference w:type="default" r:id="rId8"/>
          <w:footerReference w:type="even" r:id="rId9"/>
          <w:footerReference w:type="default" r:id="rId10"/>
          <w:headerReference w:type="first" r:id="rId11"/>
          <w:footerReference w:type="first" r:id="rId12"/>
          <w:pgSz w:w="12242" w:h="15842" w:code="1"/>
          <w:pgMar w:top="1418" w:right="1361" w:bottom="1418" w:left="1701" w:header="709" w:footer="709" w:gutter="0"/>
          <w:cols w:space="709"/>
        </w:sect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6C29B6" w:rsidRDefault="006C29B6">
      <w:pPr>
        <w:rPr>
          <w:rFonts w:ascii="Arial" w:hAnsi="Arial" w:cs="Arial"/>
        </w:rPr>
      </w:pPr>
    </w:p>
    <w:p w:rsidR="00292BEA" w:rsidRPr="00D04C10" w:rsidRDefault="00292BEA">
      <w:pPr>
        <w:rPr>
          <w:rFonts w:ascii="Arial" w:hAnsi="Arial" w:cs="Arial"/>
        </w:rPr>
      </w:pPr>
    </w:p>
    <w:sectPr w:rsidR="00292BEA" w:rsidRPr="00D04C10">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64D" w:rsidRDefault="0041064D" w:rsidP="00D04C10">
      <w:pPr>
        <w:spacing w:after="0" w:line="240" w:lineRule="auto"/>
      </w:pPr>
      <w:r>
        <w:separator/>
      </w:r>
    </w:p>
  </w:endnote>
  <w:endnote w:type="continuationSeparator" w:id="0">
    <w:p w:rsidR="0041064D" w:rsidRDefault="0041064D" w:rsidP="00D0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ED" w:rsidRDefault="007E51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ED" w:rsidRDefault="007E51E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ED" w:rsidRDefault="007E51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64D" w:rsidRDefault="0041064D" w:rsidP="00D04C10">
      <w:pPr>
        <w:spacing w:after="0" w:line="240" w:lineRule="auto"/>
      </w:pPr>
      <w:r>
        <w:separator/>
      </w:r>
    </w:p>
  </w:footnote>
  <w:footnote w:type="continuationSeparator" w:id="0">
    <w:p w:rsidR="0041064D" w:rsidRDefault="0041064D" w:rsidP="00D04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ED" w:rsidRDefault="007E51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9B6" w:rsidRDefault="006C29B6" w:rsidP="006B5190">
    <w:pPr>
      <w:pStyle w:val="Encabezado"/>
      <w:jc w:val="cente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4785"/>
      <w:gridCol w:w="3119"/>
    </w:tblGrid>
    <w:tr w:rsidR="006C29B6" w:rsidRPr="00DC2369" w:rsidTr="00394F78">
      <w:trPr>
        <w:trHeight w:val="350"/>
        <w:jc w:val="center"/>
      </w:trPr>
      <w:tc>
        <w:tcPr>
          <w:tcW w:w="1765" w:type="dxa"/>
          <w:vMerge w:val="restart"/>
          <w:shd w:val="clear" w:color="auto" w:fill="auto"/>
          <w:vAlign w:val="center"/>
        </w:tcPr>
        <w:p w:rsidR="006C29B6" w:rsidRPr="00DC2369" w:rsidRDefault="00394F78" w:rsidP="0037650C">
          <w:pPr>
            <w:pStyle w:val="Encabezado"/>
            <w:jc w:val="center"/>
            <w:rPr>
              <w:rFonts w:cs="Arial"/>
            </w:rPr>
          </w:pPr>
          <w:bookmarkStart w:id="0" w:name="_GoBack"/>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5.5pt" fillcolor="window">
                <v:imagedata r:id="rId1" o:title="logo nuevo contraloria"/>
              </v:shape>
            </w:pict>
          </w:r>
        </w:p>
      </w:tc>
      <w:tc>
        <w:tcPr>
          <w:tcW w:w="4785" w:type="dxa"/>
          <w:vMerge w:val="restart"/>
          <w:shd w:val="clear" w:color="auto" w:fill="auto"/>
          <w:vAlign w:val="center"/>
        </w:tcPr>
        <w:p w:rsidR="006C29B6" w:rsidRPr="007E51ED" w:rsidRDefault="006C29B6" w:rsidP="0037650C">
          <w:pPr>
            <w:jc w:val="center"/>
            <w:rPr>
              <w:rFonts w:ascii="Arial" w:hAnsi="Arial" w:cs="Arial"/>
              <w:b/>
            </w:rPr>
          </w:pPr>
          <w:r w:rsidRPr="007E51ED">
            <w:rPr>
              <w:rFonts w:ascii="Arial" w:hAnsi="Arial" w:cs="Arial"/>
              <w:b/>
            </w:rPr>
            <w:t xml:space="preserve">PROCEDIMIENTO PARA LA LIQUIDACIÓN DE </w:t>
          </w:r>
        </w:p>
        <w:p w:rsidR="006C29B6" w:rsidRPr="007E51ED" w:rsidRDefault="006C29B6" w:rsidP="0037650C">
          <w:pPr>
            <w:jc w:val="center"/>
            <w:rPr>
              <w:rFonts w:ascii="Arial" w:hAnsi="Arial" w:cs="Arial"/>
              <w:b/>
            </w:rPr>
          </w:pPr>
          <w:r w:rsidRPr="007E51ED">
            <w:rPr>
              <w:rFonts w:ascii="Arial" w:hAnsi="Arial" w:cs="Arial"/>
              <w:b/>
            </w:rPr>
            <w:t>PRESTACIONES SOCIALES</w:t>
          </w:r>
        </w:p>
      </w:tc>
      <w:tc>
        <w:tcPr>
          <w:tcW w:w="3119" w:type="dxa"/>
          <w:shd w:val="clear" w:color="auto" w:fill="auto"/>
          <w:vAlign w:val="center"/>
        </w:tcPr>
        <w:p w:rsidR="006C29B6" w:rsidRPr="007E51ED" w:rsidRDefault="006C29B6" w:rsidP="0037650C">
          <w:pPr>
            <w:pStyle w:val="Encabezado"/>
            <w:rPr>
              <w:rFonts w:ascii="Arial" w:hAnsi="Arial" w:cs="Arial"/>
            </w:rPr>
          </w:pPr>
          <w:r w:rsidRPr="007E51ED">
            <w:rPr>
              <w:rFonts w:ascii="Arial" w:hAnsi="Arial" w:cs="Arial"/>
            </w:rPr>
            <w:t>Código formato: PGD-02-05</w:t>
          </w:r>
        </w:p>
        <w:p w:rsidR="006C29B6" w:rsidRPr="007E51ED" w:rsidRDefault="006C29B6" w:rsidP="0037650C">
          <w:pPr>
            <w:pStyle w:val="Encabezado"/>
            <w:rPr>
              <w:rFonts w:ascii="Arial" w:hAnsi="Arial" w:cs="Arial"/>
            </w:rPr>
          </w:pPr>
          <w:r w:rsidRPr="007E51ED">
            <w:rPr>
              <w:rFonts w:ascii="Arial" w:hAnsi="Arial" w:cs="Arial"/>
            </w:rPr>
            <w:t>Versión: 11.0</w:t>
          </w:r>
        </w:p>
      </w:tc>
    </w:tr>
    <w:tr w:rsidR="006C29B6" w:rsidRPr="00DC2369" w:rsidTr="00394F78">
      <w:trPr>
        <w:trHeight w:val="350"/>
        <w:jc w:val="center"/>
      </w:trPr>
      <w:tc>
        <w:tcPr>
          <w:tcW w:w="1765" w:type="dxa"/>
          <w:vMerge/>
          <w:shd w:val="clear" w:color="auto" w:fill="auto"/>
        </w:tcPr>
        <w:p w:rsidR="006C29B6" w:rsidRPr="00DC2369" w:rsidRDefault="006C29B6" w:rsidP="0037650C">
          <w:pPr>
            <w:pStyle w:val="Encabezado"/>
            <w:rPr>
              <w:rFonts w:cs="Arial"/>
            </w:rPr>
          </w:pPr>
        </w:p>
      </w:tc>
      <w:tc>
        <w:tcPr>
          <w:tcW w:w="4785" w:type="dxa"/>
          <w:vMerge/>
          <w:shd w:val="clear" w:color="auto" w:fill="auto"/>
        </w:tcPr>
        <w:p w:rsidR="006C29B6" w:rsidRPr="007E51ED" w:rsidRDefault="006C29B6" w:rsidP="0037650C">
          <w:pPr>
            <w:pStyle w:val="Encabezado"/>
            <w:rPr>
              <w:rFonts w:ascii="Arial" w:hAnsi="Arial" w:cs="Arial"/>
            </w:rPr>
          </w:pPr>
        </w:p>
      </w:tc>
      <w:tc>
        <w:tcPr>
          <w:tcW w:w="3119" w:type="dxa"/>
          <w:shd w:val="clear" w:color="auto" w:fill="auto"/>
          <w:vAlign w:val="center"/>
        </w:tcPr>
        <w:p w:rsidR="006C29B6" w:rsidRPr="007E51ED" w:rsidRDefault="006C29B6" w:rsidP="0037650C">
          <w:pPr>
            <w:pStyle w:val="Encabezado"/>
            <w:rPr>
              <w:rFonts w:ascii="Arial" w:hAnsi="Arial" w:cs="Arial"/>
            </w:rPr>
          </w:pPr>
          <w:r w:rsidRPr="007E51ED">
            <w:rPr>
              <w:rFonts w:ascii="Arial" w:hAnsi="Arial" w:cs="Arial"/>
            </w:rPr>
            <w:t>Código documento: PGTH-08</w:t>
          </w:r>
        </w:p>
        <w:p w:rsidR="006C29B6" w:rsidRPr="007E51ED" w:rsidRDefault="006C29B6" w:rsidP="0037650C">
          <w:pPr>
            <w:pStyle w:val="Encabezado"/>
            <w:rPr>
              <w:rFonts w:ascii="Arial" w:hAnsi="Arial" w:cs="Arial"/>
            </w:rPr>
          </w:pPr>
          <w:r w:rsidRPr="007E51ED">
            <w:rPr>
              <w:rFonts w:ascii="Arial" w:hAnsi="Arial" w:cs="Arial"/>
            </w:rPr>
            <w:t>Versión 4.0</w:t>
          </w:r>
        </w:p>
      </w:tc>
    </w:tr>
    <w:tr w:rsidR="006C29B6" w:rsidRPr="00DC2369" w:rsidTr="00394F78">
      <w:trPr>
        <w:trHeight w:val="350"/>
        <w:jc w:val="center"/>
      </w:trPr>
      <w:tc>
        <w:tcPr>
          <w:tcW w:w="1765" w:type="dxa"/>
          <w:vMerge/>
          <w:shd w:val="clear" w:color="auto" w:fill="auto"/>
        </w:tcPr>
        <w:p w:rsidR="006C29B6" w:rsidRPr="00DC2369" w:rsidRDefault="006C29B6" w:rsidP="0037650C">
          <w:pPr>
            <w:pStyle w:val="Encabezado"/>
            <w:rPr>
              <w:rFonts w:cs="Arial"/>
            </w:rPr>
          </w:pPr>
        </w:p>
      </w:tc>
      <w:tc>
        <w:tcPr>
          <w:tcW w:w="4785" w:type="dxa"/>
          <w:vMerge/>
          <w:shd w:val="clear" w:color="auto" w:fill="auto"/>
        </w:tcPr>
        <w:p w:rsidR="006C29B6" w:rsidRPr="007E51ED" w:rsidRDefault="006C29B6" w:rsidP="0037650C">
          <w:pPr>
            <w:pStyle w:val="Encabezado"/>
            <w:rPr>
              <w:rFonts w:ascii="Arial" w:hAnsi="Arial" w:cs="Arial"/>
            </w:rPr>
          </w:pPr>
        </w:p>
      </w:tc>
      <w:tc>
        <w:tcPr>
          <w:tcW w:w="3119" w:type="dxa"/>
          <w:shd w:val="clear" w:color="auto" w:fill="auto"/>
          <w:vAlign w:val="center"/>
        </w:tcPr>
        <w:p w:rsidR="006C29B6" w:rsidRPr="007E51ED" w:rsidRDefault="006C29B6" w:rsidP="0037650C">
          <w:pPr>
            <w:pStyle w:val="Encabezado"/>
            <w:rPr>
              <w:rFonts w:ascii="Arial" w:hAnsi="Arial" w:cs="Arial"/>
            </w:rPr>
          </w:pPr>
          <w:r w:rsidRPr="007E51ED">
            <w:rPr>
              <w:rFonts w:ascii="Arial" w:hAnsi="Arial" w:cs="Arial"/>
            </w:rPr>
            <w:t xml:space="preserve">Página </w:t>
          </w:r>
          <w:r w:rsidRPr="007E51ED">
            <w:rPr>
              <w:rFonts w:ascii="Arial" w:hAnsi="Arial" w:cs="Arial"/>
            </w:rPr>
            <w:fldChar w:fldCharType="begin"/>
          </w:r>
          <w:r w:rsidRPr="007E51ED">
            <w:rPr>
              <w:rFonts w:ascii="Arial" w:hAnsi="Arial" w:cs="Arial"/>
            </w:rPr>
            <w:instrText xml:space="preserve"> PAGE </w:instrText>
          </w:r>
          <w:r w:rsidRPr="007E51ED">
            <w:rPr>
              <w:rFonts w:ascii="Arial" w:hAnsi="Arial" w:cs="Arial"/>
            </w:rPr>
            <w:fldChar w:fldCharType="separate"/>
          </w:r>
          <w:r w:rsidR="00394F78">
            <w:rPr>
              <w:rFonts w:ascii="Arial" w:hAnsi="Arial" w:cs="Arial"/>
              <w:noProof/>
            </w:rPr>
            <w:t>1</w:t>
          </w:r>
          <w:r w:rsidRPr="007E51ED">
            <w:rPr>
              <w:rFonts w:ascii="Arial" w:hAnsi="Arial" w:cs="Arial"/>
            </w:rPr>
            <w:fldChar w:fldCharType="end"/>
          </w:r>
          <w:r w:rsidRPr="007E51ED">
            <w:rPr>
              <w:rFonts w:ascii="Arial" w:hAnsi="Arial" w:cs="Arial"/>
            </w:rPr>
            <w:t xml:space="preserve"> de </w:t>
          </w:r>
          <w:r w:rsidRPr="007E51ED">
            <w:rPr>
              <w:rFonts w:ascii="Arial" w:hAnsi="Arial" w:cs="Arial"/>
            </w:rPr>
            <w:fldChar w:fldCharType="begin"/>
          </w:r>
          <w:r w:rsidRPr="007E51ED">
            <w:rPr>
              <w:rFonts w:ascii="Arial" w:hAnsi="Arial" w:cs="Arial"/>
            </w:rPr>
            <w:instrText xml:space="preserve"> NUMPAGES </w:instrText>
          </w:r>
          <w:r w:rsidRPr="007E51ED">
            <w:rPr>
              <w:rFonts w:ascii="Arial" w:hAnsi="Arial" w:cs="Arial"/>
            </w:rPr>
            <w:fldChar w:fldCharType="separate"/>
          </w:r>
          <w:r w:rsidR="00394F78">
            <w:rPr>
              <w:rFonts w:ascii="Arial" w:hAnsi="Arial" w:cs="Arial"/>
              <w:noProof/>
            </w:rPr>
            <w:t>6</w:t>
          </w:r>
          <w:r w:rsidRPr="007E51ED">
            <w:rPr>
              <w:rFonts w:ascii="Arial" w:hAnsi="Arial" w:cs="Arial"/>
            </w:rPr>
            <w:fldChar w:fldCharType="end"/>
          </w:r>
        </w:p>
      </w:tc>
    </w:tr>
    <w:bookmarkEnd w:id="0"/>
  </w:tbl>
  <w:p w:rsidR="006C29B6" w:rsidRDefault="006C29B6" w:rsidP="006B5190">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1ED" w:rsidRDefault="007E51E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10" w:rsidRDefault="00D04C10" w:rsidP="00D04C10">
    <w:pPr>
      <w:pStyle w:val="Encabezado"/>
      <w:jc w:val="center"/>
    </w:pPr>
    <w:r w:rsidRPr="00D04C10">
      <w:rPr>
        <w:rFonts w:ascii="Arial" w:eastAsia="Times New Roman" w:hAnsi="Arial" w:cs="Arial"/>
        <w:b/>
        <w:noProof/>
        <w:color w:val="000000"/>
        <w:lang w:eastAsia="es-CO"/>
      </w:rPr>
      <w:drawing>
        <wp:inline distT="0" distB="0" distL="0" distR="0">
          <wp:extent cx="1219200" cy="876300"/>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a:ln>
                    <a:noFill/>
                  </a:ln>
                </pic:spPr>
              </pic:pic>
            </a:graphicData>
          </a:graphic>
        </wp:inline>
      </w:drawing>
    </w:r>
  </w:p>
  <w:p w:rsidR="00B254B6" w:rsidRDefault="00B254B6" w:rsidP="00D04C10">
    <w:pPr>
      <w:pStyle w:val="Encabezado"/>
      <w:jc w:val="center"/>
    </w:pPr>
  </w:p>
  <w:p w:rsidR="00D04C10" w:rsidRDefault="00B254B6" w:rsidP="00D04C10">
    <w:pPr>
      <w:pStyle w:val="Encabezado"/>
      <w:jc w:val="center"/>
      <w:rPr>
        <w:rFonts w:ascii="Arial" w:eastAsia="Times New Roman" w:hAnsi="Arial" w:cs="Arial"/>
        <w:i/>
        <w:lang w:val="es-419" w:eastAsia="es-ES"/>
      </w:rPr>
    </w:pPr>
    <w:r w:rsidRPr="00B254B6">
      <w:rPr>
        <w:rFonts w:ascii="Arial" w:eastAsia="Times New Roman" w:hAnsi="Arial" w:cs="Arial"/>
        <w:i/>
        <w:lang w:val="es-419" w:eastAsia="es-ES"/>
      </w:rPr>
      <w:t>“Una Contraloría aliada con Bogotá”</w:t>
    </w:r>
  </w:p>
  <w:p w:rsidR="00292BEA" w:rsidRPr="00292BEA" w:rsidRDefault="00292BEA" w:rsidP="00292BEA">
    <w:pPr>
      <w:keepNext/>
      <w:spacing w:before="240" w:after="60" w:line="240" w:lineRule="auto"/>
      <w:jc w:val="center"/>
      <w:outlineLvl w:val="1"/>
      <w:rPr>
        <w:rFonts w:ascii="Arial" w:eastAsia="Times New Roman" w:hAnsi="Arial" w:cs="Arial"/>
        <w:bCs/>
        <w:i/>
        <w:iCs/>
        <w:lang w:val="es-ES_tradnl" w:eastAsia="es-ES"/>
      </w:rPr>
    </w:pPr>
    <w:r w:rsidRPr="00292BEA">
      <w:rPr>
        <w:rFonts w:ascii="Arial" w:eastAsia="Times New Roman" w:hAnsi="Arial" w:cs="Arial"/>
        <w:bCs/>
        <w:i/>
        <w:iCs/>
        <w:lang w:val="es-ES_tradnl" w:eastAsia="es-ES"/>
      </w:rPr>
      <w:t>Por la cual se reconocen y pagan el auxilio de cesantías y los intereses a las cesantías de los servidores públicos de la Contraloría de Bogotá D.C.”</w:t>
    </w:r>
  </w:p>
  <w:p w:rsidR="00292BEA" w:rsidRDefault="0041064D" w:rsidP="00292BEA">
    <w:pPr>
      <w:pStyle w:val="Encabezado"/>
      <w:jc w:val="center"/>
    </w:pPr>
    <w:r>
      <w:rPr>
        <w:rFonts w:ascii="Arial" w:eastAsia="Times New Roman" w:hAnsi="Arial" w:cs="Arial"/>
        <w:lang w:val="es-ES_tradnl" w:eastAsia="es-ES"/>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10"/>
    <w:rsid w:val="00265E2E"/>
    <w:rsid w:val="00292BEA"/>
    <w:rsid w:val="00394F78"/>
    <w:rsid w:val="0041064D"/>
    <w:rsid w:val="006C29B6"/>
    <w:rsid w:val="007E51ED"/>
    <w:rsid w:val="00AD2C41"/>
    <w:rsid w:val="00B254B6"/>
    <w:rsid w:val="00C003D4"/>
    <w:rsid w:val="00C56DD8"/>
    <w:rsid w:val="00C7762E"/>
    <w:rsid w:val="00CF7792"/>
    <w:rsid w:val="00D04C10"/>
    <w:rsid w:val="00E70D63"/>
    <w:rsid w:val="00FC07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DB483E-AADD-4DA2-939A-D80CD711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4C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4C10"/>
  </w:style>
  <w:style w:type="paragraph" w:styleId="Piedepgina">
    <w:name w:val="footer"/>
    <w:basedOn w:val="Normal"/>
    <w:link w:val="PiedepginaCar"/>
    <w:uiPriority w:val="99"/>
    <w:unhideWhenUsed/>
    <w:rsid w:val="00D04C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2B3E6-694E-4BAA-BEB0-CD860C89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617</Words>
  <Characters>3399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Castro Nungo</dc:creator>
  <cp:keywords/>
  <dc:description/>
  <cp:lastModifiedBy>ANDRES MAURICIO RAMIREZ RAMOS</cp:lastModifiedBy>
  <cp:revision>6</cp:revision>
  <dcterms:created xsi:type="dcterms:W3CDTF">2018-03-16T19:31:00Z</dcterms:created>
  <dcterms:modified xsi:type="dcterms:W3CDTF">2018-03-23T16:32:00Z</dcterms:modified>
</cp:coreProperties>
</file>